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07" w:tblpY="52"/>
        <w:tblW w:w="11080" w:type="dxa"/>
        <w:tblBorders>
          <w:top w:val="nil"/>
          <w:left w:val="nil"/>
          <w:bottom w:val="nil"/>
          <w:right w:val="nil"/>
        </w:tblBorders>
        <w:tblLayout w:type="fixed"/>
        <w:tblLook w:val="0000" w:firstRow="0" w:lastRow="0" w:firstColumn="0" w:lastColumn="0" w:noHBand="0" w:noVBand="0"/>
      </w:tblPr>
      <w:tblGrid>
        <w:gridCol w:w="11080"/>
      </w:tblGrid>
      <w:tr w:rsidR="00A424B7" w:rsidRPr="00272E51" w:rsidTr="00A424B7">
        <w:trPr>
          <w:trHeight w:val="6232"/>
        </w:trPr>
        <w:tc>
          <w:tcPr>
            <w:tcW w:w="11080" w:type="dxa"/>
          </w:tcPr>
          <w:p w:rsidR="00A424B7" w:rsidRPr="00272E51" w:rsidRDefault="00A424B7" w:rsidP="00A424B7">
            <w:pPr>
              <w:pStyle w:val="Default"/>
            </w:pPr>
            <w:r w:rsidRPr="00272E51">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rsidR="00A424B7" w:rsidRPr="00272E51" w:rsidRDefault="00A424B7" w:rsidP="00A424B7">
            <w:pPr>
              <w:pStyle w:val="Default"/>
            </w:pPr>
          </w:p>
          <w:p w:rsidR="00A424B7" w:rsidRPr="00272E51" w:rsidRDefault="00A424B7" w:rsidP="00A424B7">
            <w:pPr>
              <w:pStyle w:val="Default"/>
            </w:pPr>
            <w:r w:rsidRPr="00272E51">
              <w:t xml:space="preserve">When registering for NHS care, all patients who receive NHS care are registered on a national database, the database is held by NHS Digital, a national organisation which has legal responsibilities to collect NHS </w:t>
            </w:r>
          </w:p>
          <w:p w:rsidR="00F030F8" w:rsidRPr="00272E51" w:rsidRDefault="00F030F8" w:rsidP="00A424B7">
            <w:pPr>
              <w:pStyle w:val="Default"/>
            </w:pPr>
          </w:p>
          <w:p w:rsidR="00A424B7" w:rsidRPr="00272E51" w:rsidRDefault="00A424B7" w:rsidP="00A424B7">
            <w:pPr>
              <w:pStyle w:val="Default"/>
            </w:pPr>
            <w:r w:rsidRPr="00272E51">
              <w:t>GPs have always delegated tasks and responsibilities to others that work with them in their surgeries, on average an NHS GP has between 1,500 to 2,500 patients for whom he or she is accountable</w:t>
            </w:r>
            <w:r w:rsidR="00F030F8" w:rsidRPr="00272E51">
              <w:t xml:space="preserve"> for</w:t>
            </w:r>
            <w:r w:rsidRPr="00272E51">
              <w:t xml:space="preserve">. It is not possible for the GP to provide hands on personal care for each and every one of those patients in those circumstances, for this reason GPs share your care with others, predominantly within the surgery but occasionally with outside organisations. </w:t>
            </w:r>
          </w:p>
          <w:p w:rsidR="00A424B7" w:rsidRPr="00272E51" w:rsidRDefault="00A424B7" w:rsidP="00A424B7">
            <w:pPr>
              <w:pStyle w:val="Default"/>
            </w:pPr>
          </w:p>
          <w:p w:rsidR="00A424B7" w:rsidRPr="00272E51" w:rsidRDefault="00A424B7" w:rsidP="00A424B7">
            <w:pPr>
              <w:pStyle w:val="Default"/>
            </w:pPr>
            <w:r w:rsidRPr="00272E51">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rsidR="00A424B7" w:rsidRPr="00272E51" w:rsidRDefault="00A424B7" w:rsidP="00A424B7">
            <w:pPr>
              <w:pStyle w:val="Default"/>
            </w:pPr>
          </w:p>
          <w:p w:rsidR="00A424B7" w:rsidRPr="00272E51" w:rsidRDefault="00A424B7" w:rsidP="00A424B7">
            <w:pPr>
              <w:pStyle w:val="Default"/>
            </w:pPr>
            <w:r w:rsidRPr="00272E51">
              <w:t xml:space="preserve">Your consent to this sharing of data, within the practice and with those others outside the practice is assumed and is allowed by the Law. </w:t>
            </w:r>
          </w:p>
          <w:p w:rsidR="00A424B7" w:rsidRPr="00272E51" w:rsidRDefault="00A424B7" w:rsidP="00A424B7">
            <w:pPr>
              <w:pStyle w:val="Default"/>
            </w:pPr>
          </w:p>
          <w:p w:rsidR="00A424B7" w:rsidRPr="00272E51" w:rsidRDefault="00A424B7" w:rsidP="00A424B7">
            <w:pPr>
              <w:pStyle w:val="Default"/>
            </w:pPr>
            <w:r w:rsidRPr="00272E51">
              <w:t xml:space="preserve">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 </w:t>
            </w:r>
          </w:p>
          <w:p w:rsidR="00A424B7" w:rsidRPr="00272E51" w:rsidRDefault="00A424B7" w:rsidP="00A424B7">
            <w:pPr>
              <w:pStyle w:val="Default"/>
            </w:pPr>
          </w:p>
          <w:p w:rsidR="00A424B7" w:rsidRPr="00272E51" w:rsidRDefault="00A424B7" w:rsidP="00A424B7">
            <w:pPr>
              <w:pStyle w:val="Default"/>
            </w:pPr>
            <w:r w:rsidRPr="00272E51">
              <w:t xml:space="preserve">You have the right to object to our sharing your data in these circumstances but we have an overriding responsibility to do what is in your best interests. Please see below. </w:t>
            </w:r>
          </w:p>
          <w:p w:rsidR="00A424B7" w:rsidRPr="00272E51" w:rsidRDefault="00A424B7" w:rsidP="00A424B7">
            <w:pPr>
              <w:pStyle w:val="Default"/>
            </w:pPr>
          </w:p>
          <w:p w:rsidR="00A424B7" w:rsidRPr="00272E51" w:rsidRDefault="00A424B7" w:rsidP="00A424B7">
            <w:pPr>
              <w:pStyle w:val="Default"/>
            </w:pPr>
            <w:r w:rsidRPr="00272E51">
              <w:t xml:space="preserve">We are required by Articles in the General Data Protection Regulations to provide you with the information in the following 9 subsections. </w:t>
            </w:r>
          </w:p>
        </w:tc>
      </w:tr>
    </w:tbl>
    <w:p w:rsidR="00A424B7" w:rsidRDefault="00A424B7" w:rsidP="00A424B7">
      <w:pPr>
        <w:pStyle w:val="Default"/>
      </w:pPr>
    </w:p>
    <w:tbl>
      <w:tblPr>
        <w:tblpPr w:leftFromText="180" w:rightFromText="180" w:vertAnchor="text" w:horzAnchor="page" w:tblpX="507" w:tblpY="80"/>
        <w:tblW w:w="11081" w:type="dxa"/>
        <w:tblBorders>
          <w:top w:val="nil"/>
          <w:left w:val="nil"/>
          <w:bottom w:val="nil"/>
          <w:right w:val="nil"/>
        </w:tblBorders>
        <w:tblLayout w:type="fixed"/>
        <w:tblLook w:val="0000" w:firstRow="0" w:lastRow="0" w:firstColumn="0" w:lastColumn="0" w:noHBand="0" w:noVBand="0"/>
      </w:tblPr>
      <w:tblGrid>
        <w:gridCol w:w="11081"/>
      </w:tblGrid>
      <w:tr w:rsidR="00A424B7" w:rsidTr="00DC20AE">
        <w:trPr>
          <w:trHeight w:val="2343"/>
        </w:trPr>
        <w:tc>
          <w:tcPr>
            <w:tcW w:w="11081" w:type="dxa"/>
          </w:tcPr>
          <w:tbl>
            <w:tblPr>
              <w:tblpPr w:leftFromText="180" w:rightFromText="180" w:vertAnchor="text" w:horzAnchor="margin" w:tblpY="223"/>
              <w:tblW w:w="0" w:type="auto"/>
              <w:tblBorders>
                <w:top w:val="nil"/>
                <w:left w:val="nil"/>
                <w:bottom w:val="nil"/>
                <w:right w:val="nil"/>
              </w:tblBorders>
              <w:tblLayout w:type="fixed"/>
              <w:tblLook w:val="0000" w:firstRow="0" w:lastRow="0" w:firstColumn="0" w:lastColumn="0" w:noHBand="0" w:noVBand="0"/>
            </w:tblPr>
            <w:tblGrid>
              <w:gridCol w:w="5217"/>
              <w:gridCol w:w="5217"/>
            </w:tblGrid>
            <w:tr w:rsidR="00A424B7" w:rsidRPr="007B0844" w:rsidTr="00DC20AE">
              <w:trPr>
                <w:trHeight w:val="645"/>
              </w:trPr>
              <w:tc>
                <w:tcPr>
                  <w:tcW w:w="5217" w:type="dxa"/>
                  <w:tcBorders>
                    <w:top w:val="single" w:sz="4" w:space="0" w:color="auto"/>
                    <w:left w:val="single" w:sz="4" w:space="0" w:color="auto"/>
                    <w:bottom w:val="single" w:sz="4" w:space="0" w:color="auto"/>
                    <w:right w:val="single" w:sz="4" w:space="0" w:color="auto"/>
                  </w:tcBorders>
                </w:tcPr>
                <w:p w:rsidR="00A424B7" w:rsidRPr="00272E51" w:rsidRDefault="00A424B7" w:rsidP="00DC20AE">
                  <w:pPr>
                    <w:autoSpaceDE w:val="0"/>
                    <w:autoSpaceDN w:val="0"/>
                    <w:adjustRightInd w:val="0"/>
                    <w:spacing w:after="0" w:line="240" w:lineRule="auto"/>
                    <w:rPr>
                      <w:rFonts w:ascii="Arial" w:hAnsi="Arial" w:cs="Arial"/>
                      <w:b/>
                      <w:color w:val="000000"/>
                      <w:sz w:val="24"/>
                      <w:szCs w:val="24"/>
                    </w:rPr>
                  </w:pPr>
                  <w:r w:rsidRPr="00272E51">
                    <w:rPr>
                      <w:rFonts w:ascii="Arial" w:hAnsi="Arial" w:cs="Arial"/>
                      <w:b/>
                      <w:color w:val="000000"/>
                      <w:sz w:val="24"/>
                      <w:szCs w:val="24"/>
                    </w:rPr>
                    <w:lastRenderedPageBreak/>
                    <w:t>1</w:t>
                  </w:r>
                  <w:r w:rsidRPr="00272E51">
                    <w:rPr>
                      <w:rFonts w:ascii="Arial" w:hAnsi="Arial" w:cs="Arial"/>
                      <w:b/>
                      <w:bCs/>
                      <w:color w:val="000000"/>
                      <w:sz w:val="24"/>
                      <w:szCs w:val="24"/>
                    </w:rPr>
                    <w:t xml:space="preserve">) Data Controller </w:t>
                  </w:r>
                  <w:r w:rsidRPr="00272E51">
                    <w:rPr>
                      <w:rFonts w:ascii="Arial" w:hAnsi="Arial" w:cs="Arial"/>
                      <w:b/>
                      <w:color w:val="000000"/>
                      <w:sz w:val="24"/>
                      <w:szCs w:val="24"/>
                    </w:rPr>
                    <w:t xml:space="preserve">contact details </w:t>
                  </w:r>
                </w:p>
              </w:tc>
              <w:tc>
                <w:tcPr>
                  <w:tcW w:w="5217" w:type="dxa"/>
                  <w:tcBorders>
                    <w:top w:val="single" w:sz="4" w:space="0" w:color="auto"/>
                    <w:left w:val="single" w:sz="4" w:space="0" w:color="auto"/>
                    <w:bottom w:val="single" w:sz="4" w:space="0" w:color="auto"/>
                    <w:right w:val="single" w:sz="4" w:space="0" w:color="auto"/>
                  </w:tcBorders>
                </w:tcPr>
                <w:p w:rsidR="00A424B7" w:rsidRDefault="0050702F" w:rsidP="00272E51">
                  <w:pPr>
                    <w:pStyle w:val="Default"/>
                  </w:pPr>
                  <w:proofErr w:type="spellStart"/>
                  <w:r>
                    <w:t>Dr.</w:t>
                  </w:r>
                  <w:proofErr w:type="spellEnd"/>
                  <w:r>
                    <w:t xml:space="preserve"> Paresh Parikh &amp; Partners</w:t>
                  </w:r>
                </w:p>
                <w:p w:rsidR="0050702F" w:rsidRDefault="0050702F" w:rsidP="00272E51">
                  <w:pPr>
                    <w:pStyle w:val="Default"/>
                  </w:pPr>
                  <w:r>
                    <w:t>Grosvenor Medical Centre</w:t>
                  </w:r>
                </w:p>
                <w:p w:rsidR="0050702F" w:rsidRDefault="0050702F" w:rsidP="00272E51">
                  <w:pPr>
                    <w:pStyle w:val="Default"/>
                  </w:pPr>
                  <w:r>
                    <w:t>62 Grosvenor Street</w:t>
                  </w:r>
                </w:p>
                <w:p w:rsidR="0050702F" w:rsidRDefault="0050702F" w:rsidP="00272E51">
                  <w:pPr>
                    <w:pStyle w:val="Default"/>
                  </w:pPr>
                  <w:r>
                    <w:t>Stalybridge</w:t>
                  </w:r>
                </w:p>
                <w:p w:rsidR="0050702F" w:rsidRDefault="0050702F" w:rsidP="00272E51">
                  <w:pPr>
                    <w:pStyle w:val="Default"/>
                  </w:pPr>
                  <w:r>
                    <w:t>Cheshire</w:t>
                  </w:r>
                </w:p>
                <w:p w:rsidR="0050702F" w:rsidRDefault="0050702F" w:rsidP="00272E51">
                  <w:pPr>
                    <w:pStyle w:val="Default"/>
                  </w:pPr>
                  <w:r>
                    <w:t>SK15 1RZ</w:t>
                  </w:r>
                </w:p>
                <w:p w:rsidR="0050702F" w:rsidRPr="00272E51" w:rsidRDefault="0050702F" w:rsidP="00272E51">
                  <w:pPr>
                    <w:pStyle w:val="Default"/>
                  </w:pPr>
                  <w:r>
                    <w:t>0161 303 4313</w:t>
                  </w:r>
                  <w:bookmarkStart w:id="0" w:name="_GoBack"/>
                  <w:bookmarkEnd w:id="0"/>
                </w:p>
              </w:tc>
            </w:tr>
            <w:tr w:rsidR="00A424B7" w:rsidRPr="007B0844" w:rsidTr="00DC20AE">
              <w:trPr>
                <w:trHeight w:val="306"/>
              </w:trPr>
              <w:tc>
                <w:tcPr>
                  <w:tcW w:w="5217" w:type="dxa"/>
                  <w:tcBorders>
                    <w:top w:val="single" w:sz="4" w:space="0" w:color="auto"/>
                    <w:left w:val="single" w:sz="4" w:space="0" w:color="auto"/>
                    <w:bottom w:val="single" w:sz="4" w:space="0" w:color="auto"/>
                    <w:right w:val="single" w:sz="4" w:space="0" w:color="auto"/>
                  </w:tcBorders>
                </w:tcPr>
                <w:p w:rsidR="00A424B7" w:rsidRPr="00272E51" w:rsidRDefault="00A424B7" w:rsidP="00DC20AE">
                  <w:pPr>
                    <w:autoSpaceDE w:val="0"/>
                    <w:autoSpaceDN w:val="0"/>
                    <w:adjustRightInd w:val="0"/>
                    <w:spacing w:after="0" w:line="240" w:lineRule="auto"/>
                    <w:rPr>
                      <w:rFonts w:ascii="Arial" w:hAnsi="Arial" w:cs="Arial"/>
                      <w:b/>
                      <w:color w:val="000000"/>
                      <w:sz w:val="24"/>
                      <w:szCs w:val="24"/>
                    </w:rPr>
                  </w:pPr>
                  <w:r w:rsidRPr="00272E51">
                    <w:rPr>
                      <w:rFonts w:ascii="Arial" w:hAnsi="Arial" w:cs="Arial"/>
                      <w:b/>
                      <w:bCs/>
                      <w:color w:val="000000"/>
                      <w:sz w:val="24"/>
                      <w:szCs w:val="24"/>
                    </w:rPr>
                    <w:t xml:space="preserve">2) Data Protection Officer </w:t>
                  </w:r>
                  <w:r w:rsidRPr="00272E51">
                    <w:rPr>
                      <w:rFonts w:ascii="Arial" w:hAnsi="Arial" w:cs="Arial"/>
                      <w:b/>
                      <w:color w:val="000000"/>
                      <w:sz w:val="24"/>
                      <w:szCs w:val="24"/>
                    </w:rPr>
                    <w:t xml:space="preserve">contact details </w:t>
                  </w:r>
                </w:p>
              </w:tc>
              <w:tc>
                <w:tcPr>
                  <w:tcW w:w="5217" w:type="dxa"/>
                  <w:tcBorders>
                    <w:top w:val="single" w:sz="4" w:space="0" w:color="auto"/>
                    <w:left w:val="single" w:sz="4" w:space="0" w:color="auto"/>
                    <w:bottom w:val="single" w:sz="4" w:space="0" w:color="auto"/>
                    <w:right w:val="single" w:sz="4" w:space="0" w:color="auto"/>
                  </w:tcBorders>
                </w:tcPr>
                <w:p w:rsidR="00A424B7" w:rsidRPr="00272E51" w:rsidRDefault="000F5624" w:rsidP="00DC20AE">
                  <w:pPr>
                    <w:pStyle w:val="Default"/>
                  </w:pPr>
                  <w:r w:rsidRPr="00272E51">
                    <w:rPr>
                      <w:color w:val="auto"/>
                    </w:rPr>
                    <w:t xml:space="preserve">Jane Hill, Email: </w:t>
                  </w:r>
                  <w:hyperlink r:id="rId8" w:history="1">
                    <w:r w:rsidRPr="00272E51">
                      <w:rPr>
                        <w:color w:val="0000FF" w:themeColor="hyperlink"/>
                        <w:u w:val="single"/>
                      </w:rPr>
                      <w:t>westpenninelmc@btconnect.com</w:t>
                    </w:r>
                  </w:hyperlink>
                </w:p>
              </w:tc>
            </w:tr>
            <w:tr w:rsidR="00CA15BE" w:rsidRPr="007B0844" w:rsidTr="00DC20AE">
              <w:trPr>
                <w:trHeight w:val="475"/>
              </w:trPr>
              <w:tc>
                <w:tcPr>
                  <w:tcW w:w="5217" w:type="dxa"/>
                  <w:tcBorders>
                    <w:top w:val="single" w:sz="4" w:space="0" w:color="auto"/>
                    <w:left w:val="single" w:sz="4" w:space="0" w:color="auto"/>
                    <w:bottom w:val="single" w:sz="4" w:space="0" w:color="auto"/>
                    <w:right w:val="single" w:sz="4" w:space="0" w:color="auto"/>
                  </w:tcBorders>
                </w:tcPr>
                <w:p w:rsidR="00CA15BE" w:rsidRPr="00272E51" w:rsidRDefault="00CA15BE" w:rsidP="00CA15BE">
                  <w:pPr>
                    <w:pStyle w:val="Default"/>
                    <w:rPr>
                      <w:b/>
                    </w:rPr>
                  </w:pPr>
                  <w:r w:rsidRPr="00272E51">
                    <w:rPr>
                      <w:b/>
                    </w:rPr>
                    <w:t xml:space="preserve">3) </w:t>
                  </w:r>
                  <w:r w:rsidRPr="00272E51">
                    <w:rPr>
                      <w:b/>
                      <w:bCs/>
                    </w:rPr>
                    <w:t xml:space="preserve">Purpose </w:t>
                  </w:r>
                  <w:r w:rsidRPr="00272E51">
                    <w:rPr>
                      <w:b/>
                    </w:rPr>
                    <w:t xml:space="preserve">of the processing </w:t>
                  </w:r>
                </w:p>
              </w:tc>
              <w:tc>
                <w:tcPr>
                  <w:tcW w:w="5217" w:type="dxa"/>
                  <w:tcBorders>
                    <w:top w:val="single" w:sz="4" w:space="0" w:color="auto"/>
                    <w:left w:val="single" w:sz="4" w:space="0" w:color="auto"/>
                    <w:bottom w:val="single" w:sz="4" w:space="0" w:color="auto"/>
                    <w:right w:val="single" w:sz="4" w:space="0" w:color="auto"/>
                  </w:tcBorders>
                </w:tcPr>
                <w:p w:rsidR="00CA15BE" w:rsidRPr="00272E51" w:rsidRDefault="00CA15BE" w:rsidP="00CA15BE">
                  <w:pPr>
                    <w:pStyle w:val="Default"/>
                  </w:pPr>
                  <w:r w:rsidRPr="00272E51">
                    <w:t xml:space="preserve">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 </w:t>
                  </w:r>
                </w:p>
              </w:tc>
            </w:tr>
            <w:tr w:rsidR="00CA15BE" w:rsidRPr="007B0844" w:rsidTr="00DC20AE">
              <w:trPr>
                <w:trHeight w:val="3470"/>
              </w:trPr>
              <w:tc>
                <w:tcPr>
                  <w:tcW w:w="5217" w:type="dxa"/>
                  <w:tcBorders>
                    <w:top w:val="single" w:sz="4" w:space="0" w:color="auto"/>
                    <w:left w:val="single" w:sz="4" w:space="0" w:color="auto"/>
                    <w:bottom w:val="single" w:sz="4" w:space="0" w:color="auto"/>
                    <w:right w:val="single" w:sz="4" w:space="0" w:color="auto"/>
                  </w:tcBorders>
                </w:tcPr>
                <w:p w:rsidR="00CA15BE" w:rsidRPr="00272E51" w:rsidRDefault="00CA15BE" w:rsidP="00CA15BE">
                  <w:pPr>
                    <w:pStyle w:val="Default"/>
                    <w:rPr>
                      <w:b/>
                    </w:rPr>
                  </w:pPr>
                  <w:r w:rsidRPr="00272E51">
                    <w:rPr>
                      <w:b/>
                    </w:rPr>
                    <w:t xml:space="preserve">4) </w:t>
                  </w:r>
                  <w:r w:rsidRPr="00272E51">
                    <w:rPr>
                      <w:b/>
                      <w:bCs/>
                    </w:rPr>
                    <w:t xml:space="preserve">Lawful basis </w:t>
                  </w:r>
                  <w:r w:rsidRPr="00272E51">
                    <w:rPr>
                      <w:b/>
                    </w:rPr>
                    <w:t xml:space="preserve">for processing </w:t>
                  </w:r>
                </w:p>
              </w:tc>
              <w:tc>
                <w:tcPr>
                  <w:tcW w:w="5217" w:type="dxa"/>
                  <w:tcBorders>
                    <w:top w:val="single" w:sz="4" w:space="0" w:color="auto"/>
                    <w:left w:val="single" w:sz="4" w:space="0" w:color="auto"/>
                    <w:bottom w:val="single" w:sz="4" w:space="0" w:color="auto"/>
                    <w:right w:val="single" w:sz="4" w:space="0" w:color="auto"/>
                  </w:tcBorders>
                </w:tcPr>
                <w:p w:rsidR="00CA15BE" w:rsidRPr="00272E51" w:rsidRDefault="00CA15BE" w:rsidP="00CA15BE">
                  <w:pPr>
                    <w:pStyle w:val="Default"/>
                  </w:pPr>
                  <w:r w:rsidRPr="00272E51">
                    <w:t xml:space="preserve">The processing of personal data in the delivery of direct care and for providers’ administrative purposes in this surgery and in support of direct care elsewhere is supported under the following Article 6 and 9 conditions of the GDPR: </w:t>
                  </w:r>
                </w:p>
                <w:p w:rsidR="00CA15BE" w:rsidRPr="00272E51" w:rsidRDefault="00CA15BE" w:rsidP="00CA15BE">
                  <w:pPr>
                    <w:pStyle w:val="Default"/>
                  </w:pPr>
                  <w:r w:rsidRPr="00272E51">
                    <w:rPr>
                      <w:i/>
                      <w:iCs/>
                    </w:rPr>
                    <w:t>Article 6(1</w:t>
                  </w:r>
                  <w:proofErr w:type="gramStart"/>
                  <w:r w:rsidRPr="00272E51">
                    <w:rPr>
                      <w:i/>
                      <w:iCs/>
                    </w:rPr>
                    <w:t>)(</w:t>
                  </w:r>
                  <w:proofErr w:type="gramEnd"/>
                  <w:r w:rsidRPr="00272E51">
                    <w:rPr>
                      <w:i/>
                      <w:iCs/>
                    </w:rPr>
                    <w:t xml:space="preserve">e) ‘…necessary for the performance of a task carried out in the public interest or in the exercise of official authority…’. </w:t>
                  </w:r>
                </w:p>
                <w:p w:rsidR="00CA15BE" w:rsidRPr="00272E51" w:rsidRDefault="00CA15BE" w:rsidP="00CA15BE">
                  <w:pPr>
                    <w:pStyle w:val="Default"/>
                  </w:pPr>
                  <w:r w:rsidRPr="00272E51">
                    <w:rPr>
                      <w:i/>
                      <w:iCs/>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CA15BE" w:rsidRPr="00272E51" w:rsidRDefault="00CA15BE" w:rsidP="00CA15BE">
                  <w:pPr>
                    <w:pStyle w:val="Default"/>
                  </w:pPr>
                  <w:r w:rsidRPr="00272E51">
                    <w:t xml:space="preserve">We will also recognise your rights established under UK case law collectively known as the “Common Law Duty of Confidentiality”* </w:t>
                  </w:r>
                </w:p>
              </w:tc>
            </w:tr>
            <w:tr w:rsidR="00D9688B" w:rsidRPr="007B0844" w:rsidTr="00DC20AE">
              <w:trPr>
                <w:trHeight w:val="3470"/>
              </w:trPr>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b/>
                      <w:sz w:val="24"/>
                      <w:szCs w:val="24"/>
                    </w:rPr>
                  </w:pPr>
                  <w:r w:rsidRPr="00272E51">
                    <w:rPr>
                      <w:rFonts w:ascii="Arial" w:hAnsi="Arial" w:cs="Arial"/>
                      <w:b/>
                      <w:sz w:val="24"/>
                      <w:szCs w:val="24"/>
                    </w:rPr>
                    <w:lastRenderedPageBreak/>
                    <w:t xml:space="preserve">5) Recipient or categories of recipients of the shared data </w:t>
                  </w:r>
                </w:p>
              </w:tc>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sz w:val="24"/>
                      <w:szCs w:val="24"/>
                    </w:rPr>
                  </w:pPr>
                  <w:r w:rsidRPr="00272E51">
                    <w:rPr>
                      <w:rFonts w:ascii="Arial" w:hAnsi="Arial" w:cs="Arial"/>
                      <w:sz w:val="24"/>
                      <w:szCs w:val="24"/>
                    </w:rPr>
                    <w:t xml:space="preserve">The data will be shared with Health and care professionals and support staff in this surgery and at hospitals, diagnostic and treatment centres who contribute to your personal care. This includes District Nurses, Health Visitors, Dieticians, Midwives, McMillan Nurses, Paramedics, Pharmacies, Diabetic Retinopathy Screening Service, DESMOND, Home Oxygen service, Integrated care team,  Your Health &amp; Wellbeing, Open Exeter, Tameside Hospital, NHS Health Checks, </w:t>
                  </w:r>
                  <w:proofErr w:type="spellStart"/>
                  <w:r w:rsidRPr="00272E51">
                    <w:rPr>
                      <w:rFonts w:ascii="Arial" w:hAnsi="Arial" w:cs="Arial"/>
                      <w:sz w:val="24"/>
                      <w:szCs w:val="24"/>
                    </w:rPr>
                    <w:t>Tquest</w:t>
                  </w:r>
                  <w:proofErr w:type="spellEnd"/>
                  <w:r w:rsidRPr="00272E51">
                    <w:rPr>
                      <w:rFonts w:ascii="Arial" w:hAnsi="Arial" w:cs="Arial"/>
                      <w:sz w:val="24"/>
                      <w:szCs w:val="24"/>
                    </w:rPr>
                    <w:t xml:space="preserve"> results, CQRS, Derbyshire County Council, Patient online access, SMS text messages, Emails (for direct care), e-referrals system, Child Health Information Services (CHIS) </w:t>
                  </w:r>
                </w:p>
              </w:tc>
            </w:tr>
            <w:tr w:rsidR="00D9688B" w:rsidRPr="007B0844" w:rsidTr="00D9688B">
              <w:trPr>
                <w:trHeight w:val="1020"/>
              </w:trPr>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b/>
                      <w:sz w:val="24"/>
                      <w:szCs w:val="24"/>
                    </w:rPr>
                  </w:pPr>
                  <w:r w:rsidRPr="00272E51">
                    <w:rPr>
                      <w:rFonts w:ascii="Arial" w:hAnsi="Arial" w:cs="Arial"/>
                      <w:b/>
                      <w:sz w:val="24"/>
                      <w:szCs w:val="24"/>
                    </w:rPr>
                    <w:t xml:space="preserve">6) Rights to object </w:t>
                  </w:r>
                </w:p>
              </w:tc>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sz w:val="24"/>
                      <w:szCs w:val="24"/>
                    </w:rPr>
                  </w:pPr>
                  <w:r w:rsidRPr="00272E51">
                    <w:rPr>
                      <w:rFonts w:ascii="Arial" w:hAnsi="Arial" w:cs="Arial"/>
                      <w:sz w:val="24"/>
                      <w:szCs w:val="24"/>
                    </w:rPr>
                    <w:t xml:space="preserve">You have the right to object to some or all of the information being shared with the recipients. Contact the Data Controller or the practice. </w:t>
                  </w:r>
                </w:p>
                <w:p w:rsidR="00D9688B" w:rsidRPr="00272E51" w:rsidRDefault="00D9688B" w:rsidP="00D9688B">
                  <w:pPr>
                    <w:rPr>
                      <w:rFonts w:ascii="Arial" w:hAnsi="Arial" w:cs="Arial"/>
                      <w:sz w:val="24"/>
                      <w:szCs w:val="24"/>
                    </w:rPr>
                  </w:pPr>
                  <w:r w:rsidRPr="00272E51">
                    <w:rPr>
                      <w:rFonts w:ascii="Arial" w:hAnsi="Arial" w:cs="Arial"/>
                      <w:sz w:val="24"/>
                      <w:szCs w:val="24"/>
                    </w:rPr>
                    <w:t>You also have the right to have an “Advanced Directive” placed on your records and brought to the attention of relevant healthcare workers or staff.</w:t>
                  </w:r>
                </w:p>
              </w:tc>
            </w:tr>
            <w:tr w:rsidR="00D9688B" w:rsidRPr="007B0844" w:rsidTr="00D9688B">
              <w:trPr>
                <w:trHeight w:val="2284"/>
              </w:trPr>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b/>
                      <w:sz w:val="24"/>
                      <w:szCs w:val="24"/>
                    </w:rPr>
                  </w:pPr>
                  <w:r w:rsidRPr="00272E51">
                    <w:rPr>
                      <w:rFonts w:ascii="Arial" w:hAnsi="Arial" w:cs="Arial"/>
                      <w:b/>
                      <w:sz w:val="24"/>
                      <w:szCs w:val="24"/>
                    </w:rPr>
                    <w:t xml:space="preserve">7) Right to access and correct </w:t>
                  </w:r>
                </w:p>
              </w:tc>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sz w:val="24"/>
                      <w:szCs w:val="24"/>
                    </w:rPr>
                  </w:pPr>
                  <w:r w:rsidRPr="00272E51">
                    <w:rPr>
                      <w:rFonts w:ascii="Arial" w:hAnsi="Arial" w:cs="Arial"/>
                      <w:sz w:val="24"/>
                      <w:szCs w:val="24"/>
                    </w:rPr>
                    <w:t xml:space="preserve">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 </w:t>
                  </w:r>
                </w:p>
              </w:tc>
            </w:tr>
            <w:tr w:rsidR="00D9688B" w:rsidRPr="007B0844" w:rsidTr="00D9688B">
              <w:trPr>
                <w:trHeight w:val="773"/>
              </w:trPr>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b/>
                      <w:sz w:val="24"/>
                      <w:szCs w:val="24"/>
                    </w:rPr>
                  </w:pPr>
                  <w:r w:rsidRPr="00272E51">
                    <w:rPr>
                      <w:rFonts w:ascii="Arial" w:hAnsi="Arial" w:cs="Arial"/>
                      <w:b/>
                      <w:sz w:val="24"/>
                      <w:szCs w:val="24"/>
                    </w:rPr>
                    <w:t xml:space="preserve">8) Retention period </w:t>
                  </w:r>
                </w:p>
              </w:tc>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sz w:val="24"/>
                      <w:szCs w:val="24"/>
                    </w:rPr>
                  </w:pPr>
                  <w:r w:rsidRPr="00272E51">
                    <w:rPr>
                      <w:rFonts w:ascii="Arial" w:hAnsi="Arial" w:cs="Arial"/>
                      <w:sz w:val="24"/>
                      <w:szCs w:val="24"/>
                    </w:rPr>
                    <w:t xml:space="preserve">The data will be retained in line with the law and national guidance </w:t>
                  </w:r>
                </w:p>
              </w:tc>
            </w:tr>
            <w:tr w:rsidR="00D9688B" w:rsidRPr="007B0844" w:rsidTr="00D9688B">
              <w:trPr>
                <w:trHeight w:val="1840"/>
              </w:trPr>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b/>
                      <w:sz w:val="24"/>
                      <w:szCs w:val="24"/>
                    </w:rPr>
                  </w:pPr>
                  <w:r w:rsidRPr="00272E51">
                    <w:rPr>
                      <w:rFonts w:ascii="Arial" w:hAnsi="Arial" w:cs="Arial"/>
                      <w:b/>
                      <w:sz w:val="24"/>
                      <w:szCs w:val="24"/>
                    </w:rPr>
                    <w:lastRenderedPageBreak/>
                    <w:t>9) Right to Complain</w:t>
                  </w:r>
                </w:p>
              </w:tc>
              <w:tc>
                <w:tcPr>
                  <w:tcW w:w="5217" w:type="dxa"/>
                  <w:tcBorders>
                    <w:top w:val="single" w:sz="4" w:space="0" w:color="auto"/>
                    <w:left w:val="single" w:sz="4" w:space="0" w:color="auto"/>
                    <w:bottom w:val="single" w:sz="4" w:space="0" w:color="auto"/>
                    <w:right w:val="single" w:sz="4" w:space="0" w:color="auto"/>
                  </w:tcBorders>
                </w:tcPr>
                <w:p w:rsidR="00D9688B" w:rsidRPr="00272E51" w:rsidRDefault="00D9688B" w:rsidP="00D9688B">
                  <w:pPr>
                    <w:rPr>
                      <w:rFonts w:ascii="Arial" w:hAnsi="Arial" w:cs="Arial"/>
                      <w:sz w:val="24"/>
                      <w:szCs w:val="24"/>
                    </w:rPr>
                  </w:pPr>
                  <w:r w:rsidRPr="00272E51">
                    <w:rPr>
                      <w:rFonts w:ascii="Arial" w:hAnsi="Arial" w:cs="Arial"/>
                      <w:sz w:val="24"/>
                      <w:szCs w:val="24"/>
                    </w:rPr>
                    <w:t xml:space="preserve">You have the right to complain to the Information Commissioner’s Office, you can use this link </w:t>
                  </w:r>
                  <w:hyperlink r:id="rId9" w:history="1">
                    <w:r w:rsidRPr="00272E51">
                      <w:rPr>
                        <w:rStyle w:val="Hyperlink"/>
                        <w:rFonts w:ascii="Arial" w:hAnsi="Arial" w:cs="Arial"/>
                        <w:sz w:val="24"/>
                        <w:szCs w:val="24"/>
                      </w:rPr>
                      <w:t>https://ico.org.uk/global/contact-us/</w:t>
                    </w:r>
                  </w:hyperlink>
                  <w:r w:rsidRPr="00272E51">
                    <w:rPr>
                      <w:rFonts w:ascii="Arial" w:hAnsi="Arial" w:cs="Arial"/>
                      <w:sz w:val="24"/>
                      <w:szCs w:val="24"/>
                    </w:rPr>
                    <w:t xml:space="preserve"> or calling </w:t>
                  </w:r>
                  <w:proofErr w:type="spellStart"/>
                  <w:r w:rsidRPr="00272E51">
                    <w:rPr>
                      <w:rFonts w:ascii="Arial" w:hAnsi="Arial" w:cs="Arial"/>
                      <w:sz w:val="24"/>
                      <w:szCs w:val="24"/>
                    </w:rPr>
                    <w:t>theire</w:t>
                  </w:r>
                  <w:proofErr w:type="spellEnd"/>
                  <w:r w:rsidRPr="00272E51">
                    <w:rPr>
                      <w:rFonts w:ascii="Arial" w:hAnsi="Arial" w:cs="Arial"/>
                      <w:sz w:val="24"/>
                      <w:szCs w:val="24"/>
                    </w:rPr>
                    <w:t xml:space="preserve"> helpline Tel: 0303 123 1113 (local rate) or 01625 545 745 (national rate) </w:t>
                  </w:r>
                </w:p>
              </w:tc>
            </w:tr>
          </w:tbl>
          <w:p w:rsidR="00A424B7" w:rsidRDefault="00A424B7" w:rsidP="00DC20AE">
            <w:pPr>
              <w:pStyle w:val="Default"/>
              <w:rPr>
                <w:sz w:val="28"/>
                <w:szCs w:val="28"/>
              </w:rPr>
            </w:pPr>
          </w:p>
        </w:tc>
      </w:tr>
    </w:tbl>
    <w:p w:rsidR="00A424B7" w:rsidRPr="007B0844" w:rsidRDefault="00A424B7" w:rsidP="00A424B7">
      <w:pPr>
        <w:rPr>
          <w:rFonts w:cstheme="minorHAnsi"/>
        </w:rPr>
      </w:pPr>
    </w:p>
    <w:p w:rsidR="000347F9" w:rsidRDefault="00A424B7" w:rsidP="00F030F8">
      <w:pPr>
        <w:pStyle w:val="Default"/>
      </w:pPr>
      <w:r w:rsidRPr="007B0844">
        <w:rPr>
          <w:rFonts w:cstheme="minorHAnsi"/>
          <w:noProof/>
          <w:lang w:eastAsia="en-GB"/>
        </w:rPr>
        <mc:AlternateContent>
          <mc:Choice Requires="wps">
            <w:drawing>
              <wp:anchor distT="0" distB="0" distL="114300" distR="114300" simplePos="0" relativeHeight="251662336" behindDoc="0" locked="0" layoutInCell="1" allowOverlap="1" wp14:anchorId="7C4AA01C" wp14:editId="55ED5286">
                <wp:simplePos x="0" y="0"/>
                <wp:positionH relativeFrom="column">
                  <wp:posOffset>-579120</wp:posOffset>
                </wp:positionH>
                <wp:positionV relativeFrom="paragraph">
                  <wp:posOffset>24218</wp:posOffset>
                </wp:positionV>
                <wp:extent cx="6984365" cy="1403985"/>
                <wp:effectExtent l="0" t="0" r="698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65" cy="1403985"/>
                        </a:xfrm>
                        <a:prstGeom prst="rect">
                          <a:avLst/>
                        </a:prstGeom>
                        <a:solidFill>
                          <a:srgbClr val="FFFFFF"/>
                        </a:solidFill>
                        <a:ln w="9525">
                          <a:noFill/>
                          <a:miter lim="800000"/>
                          <a:headEnd/>
                          <a:tailEnd/>
                        </a:ln>
                      </wps:spPr>
                      <wps:txbx>
                        <w:txbxContent>
                          <w:p w:rsidR="00A424B7" w:rsidRPr="00272E51" w:rsidRDefault="00A424B7" w:rsidP="00A424B7">
                            <w:pPr>
                              <w:pStyle w:val="Default"/>
                            </w:pPr>
                            <w:r w:rsidRPr="007B0844">
                              <w:rPr>
                                <w:rFonts w:asciiTheme="minorHAnsi" w:hAnsiTheme="minorHAnsi" w:cstheme="minorHAnsi"/>
                                <w:sz w:val="22"/>
                                <w:szCs w:val="22"/>
                              </w:rPr>
                              <w:t>“</w:t>
                            </w:r>
                            <w:r w:rsidRPr="00272E51">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rsidR="00A424B7" w:rsidRPr="00272E51" w:rsidRDefault="00A424B7" w:rsidP="00A424B7">
                            <w:pPr>
                              <w:pStyle w:val="Default"/>
                            </w:pPr>
                            <w:r w:rsidRPr="00272E51">
                              <w:t xml:space="preserve">The general position is that if information is given in circumstances where it is expected that a duty of confidence applies, that information cannot normally be disclosed without the information provider's consent. </w:t>
                            </w:r>
                          </w:p>
                          <w:p w:rsidR="00A424B7" w:rsidRPr="00272E51" w:rsidRDefault="00A424B7" w:rsidP="00A424B7">
                            <w:pPr>
                              <w:pStyle w:val="Default"/>
                            </w:pPr>
                            <w:r w:rsidRPr="00272E51">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A424B7" w:rsidRPr="00272E51" w:rsidRDefault="00A424B7" w:rsidP="00A424B7">
                            <w:pPr>
                              <w:pStyle w:val="Default"/>
                            </w:pPr>
                          </w:p>
                          <w:p w:rsidR="00A424B7" w:rsidRPr="00272E51" w:rsidRDefault="00A424B7" w:rsidP="00A424B7">
                            <w:pPr>
                              <w:pStyle w:val="Default"/>
                            </w:pPr>
                            <w:r w:rsidRPr="00272E51">
                              <w:t xml:space="preserve">Three circumstances making disclosure of confidential information lawful are: </w:t>
                            </w:r>
                          </w:p>
                          <w:p w:rsidR="00A424B7" w:rsidRPr="00272E51" w:rsidRDefault="00A424B7" w:rsidP="00A424B7">
                            <w:pPr>
                              <w:pStyle w:val="Default"/>
                            </w:pPr>
                          </w:p>
                          <w:p w:rsidR="00A424B7" w:rsidRPr="00272E51" w:rsidRDefault="00A424B7" w:rsidP="00A424B7">
                            <w:pPr>
                              <w:pStyle w:val="Default"/>
                              <w:numPr>
                                <w:ilvl w:val="0"/>
                                <w:numId w:val="1"/>
                              </w:numPr>
                              <w:spacing w:after="278"/>
                            </w:pPr>
                            <w:r w:rsidRPr="00272E51">
                              <w:t xml:space="preserve">where the individual to whom the information relates has consented; </w:t>
                            </w:r>
                          </w:p>
                          <w:p w:rsidR="00A424B7" w:rsidRPr="00272E51" w:rsidRDefault="00A424B7" w:rsidP="00A424B7">
                            <w:pPr>
                              <w:pStyle w:val="Default"/>
                              <w:numPr>
                                <w:ilvl w:val="0"/>
                                <w:numId w:val="1"/>
                              </w:numPr>
                              <w:spacing w:after="278"/>
                            </w:pPr>
                            <w:r w:rsidRPr="00272E51">
                              <w:t xml:space="preserve">where disclosure is in the public interest; and </w:t>
                            </w:r>
                          </w:p>
                          <w:p w:rsidR="00A424B7" w:rsidRPr="00272E51" w:rsidRDefault="00A424B7" w:rsidP="00A424B7">
                            <w:pPr>
                              <w:pStyle w:val="ListParagraph"/>
                              <w:numPr>
                                <w:ilvl w:val="0"/>
                                <w:numId w:val="1"/>
                              </w:numPr>
                              <w:rPr>
                                <w:rFonts w:ascii="Arial" w:hAnsi="Arial" w:cs="Arial"/>
                                <w:sz w:val="24"/>
                                <w:szCs w:val="24"/>
                              </w:rPr>
                            </w:pPr>
                            <w:proofErr w:type="gramStart"/>
                            <w:r w:rsidRPr="00272E51">
                              <w:rPr>
                                <w:rFonts w:ascii="Arial" w:hAnsi="Arial" w:cs="Arial"/>
                                <w:sz w:val="24"/>
                                <w:szCs w:val="24"/>
                              </w:rPr>
                              <w:t>where</w:t>
                            </w:r>
                            <w:proofErr w:type="gramEnd"/>
                            <w:r w:rsidRPr="00272E51">
                              <w:rPr>
                                <w:rFonts w:ascii="Arial" w:hAnsi="Arial" w:cs="Arial"/>
                                <w:sz w:val="24"/>
                                <w:szCs w:val="24"/>
                              </w:rPr>
                              <w:t xml:space="preserve"> there is a legal duty to do so, for example a court 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6pt;margin-top:1.9pt;width:549.9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lG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sVrOpos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" stroked="f">
                <v:textbox style="mso-fit-shape-to-text:t">
                  <w:txbxContent>
                    <w:p w:rsidR="00A424B7" w:rsidRPr="00272E51" w:rsidRDefault="00A424B7" w:rsidP="00A424B7">
                      <w:pPr>
                        <w:pStyle w:val="Default"/>
                      </w:pPr>
                      <w:r w:rsidRPr="007B0844">
                        <w:rPr>
                          <w:rFonts w:asciiTheme="minorHAnsi" w:hAnsiTheme="minorHAnsi" w:cstheme="minorHAnsi"/>
                          <w:sz w:val="22"/>
                          <w:szCs w:val="22"/>
                        </w:rPr>
                        <w:t>“</w:t>
                      </w:r>
                      <w:r w:rsidRPr="00272E51">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rsidR="00A424B7" w:rsidRPr="00272E51" w:rsidRDefault="00A424B7" w:rsidP="00A424B7">
                      <w:pPr>
                        <w:pStyle w:val="Default"/>
                      </w:pPr>
                      <w:r w:rsidRPr="00272E51">
                        <w:t xml:space="preserve">The general position is that if information is given in circumstances where it is expected that a duty of confidence applies, that information cannot normally be disclosed without the information provider's consent. </w:t>
                      </w:r>
                    </w:p>
                    <w:p w:rsidR="00A424B7" w:rsidRPr="00272E51" w:rsidRDefault="00A424B7" w:rsidP="00A424B7">
                      <w:pPr>
                        <w:pStyle w:val="Default"/>
                      </w:pPr>
                      <w:r w:rsidRPr="00272E51">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A424B7" w:rsidRPr="00272E51" w:rsidRDefault="00A424B7" w:rsidP="00A424B7">
                      <w:pPr>
                        <w:pStyle w:val="Default"/>
                      </w:pPr>
                    </w:p>
                    <w:p w:rsidR="00A424B7" w:rsidRPr="00272E51" w:rsidRDefault="00A424B7" w:rsidP="00A424B7">
                      <w:pPr>
                        <w:pStyle w:val="Default"/>
                      </w:pPr>
                      <w:r w:rsidRPr="00272E51">
                        <w:t xml:space="preserve">Three circumstances making disclosure of confidential information lawful are: </w:t>
                      </w:r>
                    </w:p>
                    <w:p w:rsidR="00A424B7" w:rsidRPr="00272E51" w:rsidRDefault="00A424B7" w:rsidP="00A424B7">
                      <w:pPr>
                        <w:pStyle w:val="Default"/>
                      </w:pPr>
                    </w:p>
                    <w:p w:rsidR="00A424B7" w:rsidRPr="00272E51" w:rsidRDefault="00A424B7" w:rsidP="00A424B7">
                      <w:pPr>
                        <w:pStyle w:val="Default"/>
                        <w:numPr>
                          <w:ilvl w:val="0"/>
                          <w:numId w:val="1"/>
                        </w:numPr>
                        <w:spacing w:after="278"/>
                      </w:pPr>
                      <w:r w:rsidRPr="00272E51">
                        <w:t xml:space="preserve">where the individual to whom the information relates has consented; </w:t>
                      </w:r>
                    </w:p>
                    <w:p w:rsidR="00A424B7" w:rsidRPr="00272E51" w:rsidRDefault="00A424B7" w:rsidP="00A424B7">
                      <w:pPr>
                        <w:pStyle w:val="Default"/>
                        <w:numPr>
                          <w:ilvl w:val="0"/>
                          <w:numId w:val="1"/>
                        </w:numPr>
                        <w:spacing w:after="278"/>
                      </w:pPr>
                      <w:r w:rsidRPr="00272E51">
                        <w:t xml:space="preserve">where disclosure is in the public interest; and </w:t>
                      </w:r>
                    </w:p>
                    <w:p w:rsidR="00A424B7" w:rsidRPr="00272E51" w:rsidRDefault="00A424B7" w:rsidP="00A424B7">
                      <w:pPr>
                        <w:pStyle w:val="ListParagraph"/>
                        <w:numPr>
                          <w:ilvl w:val="0"/>
                          <w:numId w:val="1"/>
                        </w:numPr>
                        <w:rPr>
                          <w:rFonts w:ascii="Arial" w:hAnsi="Arial" w:cs="Arial"/>
                          <w:sz w:val="24"/>
                          <w:szCs w:val="24"/>
                        </w:rPr>
                      </w:pPr>
                      <w:proofErr w:type="gramStart"/>
                      <w:r w:rsidRPr="00272E51">
                        <w:rPr>
                          <w:rFonts w:ascii="Arial" w:hAnsi="Arial" w:cs="Arial"/>
                          <w:sz w:val="24"/>
                          <w:szCs w:val="24"/>
                        </w:rPr>
                        <w:t>where</w:t>
                      </w:r>
                      <w:proofErr w:type="gramEnd"/>
                      <w:r w:rsidRPr="00272E51">
                        <w:rPr>
                          <w:rFonts w:ascii="Arial" w:hAnsi="Arial" w:cs="Arial"/>
                          <w:sz w:val="24"/>
                          <w:szCs w:val="24"/>
                        </w:rPr>
                        <w:t xml:space="preserve"> there is a legal duty to do so, for example a court order.</w:t>
                      </w:r>
                    </w:p>
                  </w:txbxContent>
                </v:textbox>
              </v:shape>
            </w:pict>
          </mc:Fallback>
        </mc:AlternateContent>
      </w:r>
    </w:p>
    <w:p w:rsidR="00EA540E" w:rsidRDefault="00EA540E" w:rsidP="00E5634F"/>
    <w:sectPr w:rsidR="00EA540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3E" w:rsidRDefault="00C6053E" w:rsidP="00C6053E">
      <w:pPr>
        <w:spacing w:after="0" w:line="240" w:lineRule="auto"/>
      </w:pPr>
      <w:r>
        <w:separator/>
      </w:r>
    </w:p>
  </w:endnote>
  <w:endnote w:type="continuationSeparator" w:id="0">
    <w:p w:rsidR="00C6053E" w:rsidRDefault="00C6053E" w:rsidP="00C6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95" w:rsidRPr="00DD1095" w:rsidRDefault="00DB7262" w:rsidP="00DD1095">
    <w:pPr>
      <w:pStyle w:val="Header"/>
      <w:jc w:val="center"/>
      <w:rPr>
        <w:rFonts w:ascii="Trebuchet MS" w:hAnsi="Trebuchet MS"/>
        <w:b/>
        <w:color w:val="31849B" w:themeColor="accent5" w:themeShade="BF"/>
        <w:sz w:val="12"/>
      </w:rPr>
    </w:pPr>
    <w:r>
      <w:rPr>
        <w:noProof/>
        <w:lang w:eastAsia="en-GB"/>
      </w:rPr>
      <w:t xml:space="preserve"> </w:t>
    </w:r>
  </w:p>
  <w:p w:rsidR="00CA64B4" w:rsidRDefault="00CA64B4" w:rsidP="00DD1095">
    <w:pPr>
      <w:pStyle w:val="Header"/>
      <w:jc w:val="center"/>
      <w:rPr>
        <w:rFonts w:ascii="Trebuchet MS" w:hAnsi="Trebuchet MS"/>
        <w:color w:val="31849B" w:themeColor="accent5" w:themeShade="BF"/>
        <w:sz w:val="28"/>
      </w:rPr>
    </w:pPr>
  </w:p>
  <w:p w:rsidR="00DD1095" w:rsidRDefault="00DB7262" w:rsidP="00DD1095">
    <w:pPr>
      <w:pStyle w:val="Header"/>
      <w:jc w:val="center"/>
      <w:rPr>
        <w:rFonts w:ascii="Trebuchet MS" w:hAnsi="Trebuchet MS"/>
        <w:color w:val="31849B" w:themeColor="accent5" w:themeShade="BF"/>
      </w:rPr>
    </w:pPr>
    <w:r>
      <w:rPr>
        <w:rFonts w:ascii="Trebuchet MS" w:hAnsi="Trebuchet MS"/>
        <w:color w:val="31849B" w:themeColor="accent5" w:themeShade="BF"/>
        <w:sz w:val="24"/>
      </w:rPr>
      <w:t xml:space="preserve"> </w:t>
    </w:r>
    <w:hyperlink r:id="rId1" w:history="1"/>
    <w:r>
      <w:rPr>
        <w:rStyle w:val="Hyperlink"/>
        <w:rFonts w:ascii="Trebuchet MS" w:hAnsi="Trebuchet MS"/>
        <w:color w:val="31849B" w:themeColor="accent5" w:themeShade="B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3E" w:rsidRDefault="00C6053E" w:rsidP="00C6053E">
      <w:pPr>
        <w:spacing w:after="0" w:line="240" w:lineRule="auto"/>
      </w:pPr>
      <w:r>
        <w:separator/>
      </w:r>
    </w:p>
  </w:footnote>
  <w:footnote w:type="continuationSeparator" w:id="0">
    <w:p w:rsidR="00C6053E" w:rsidRDefault="00C6053E" w:rsidP="00C60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51" w:rsidRDefault="0050702F" w:rsidP="00272E51">
    <w:pPr>
      <w:jc w:val="center"/>
      <w:rPr>
        <w:rFonts w:ascii="Trebuchet MS" w:hAnsi="Trebuchet MS"/>
        <w:b/>
      </w:rPr>
    </w:pPr>
    <w:r>
      <w:rPr>
        <w:rFonts w:ascii="Trebuchet MS" w:hAnsi="Trebuchet MS"/>
        <w:b/>
      </w:rPr>
      <w:t>GROSVENOR MEDICAL CENTRE</w:t>
    </w:r>
  </w:p>
  <w:p w:rsidR="00DD1095" w:rsidRPr="00272E51" w:rsidRDefault="00A424B7" w:rsidP="00272E51">
    <w:pPr>
      <w:jc w:val="center"/>
      <w:rPr>
        <w:rFonts w:ascii="Arial" w:hAnsi="Arial" w:cs="Arial"/>
        <w:sz w:val="28"/>
        <w:szCs w:val="28"/>
      </w:rPr>
    </w:pPr>
    <w:r w:rsidRPr="00272E51">
      <w:rPr>
        <w:rFonts w:ascii="Arial" w:hAnsi="Arial" w:cs="Arial"/>
        <w:b/>
        <w:sz w:val="28"/>
        <w:szCs w:val="28"/>
      </w:rPr>
      <w:t>Privacy Notice – Direct Care (routine care and referrals)</w:t>
    </w:r>
    <w:r w:rsidR="00DD1095" w:rsidRPr="00272E51">
      <w:rPr>
        <w:rFonts w:ascii="Arial" w:hAnsi="Arial" w:cs="Arial"/>
        <w:color w:val="31849B" w:themeColor="accent5" w:themeShade="BF"/>
        <w:sz w:val="28"/>
        <w:szCs w:val="28"/>
      </w:rPr>
      <w:tab/>
    </w:r>
  </w:p>
  <w:p w:rsidR="00C6053E" w:rsidRDefault="00C6053E">
    <w:pPr>
      <w:pStyle w:val="Header"/>
    </w:pPr>
  </w:p>
  <w:p w:rsidR="00C6053E" w:rsidRDefault="00C6053E">
    <w:pPr>
      <w:pStyle w:val="Header"/>
    </w:pPr>
    <w:r>
      <w:rPr>
        <w:noProof/>
        <w:lang w:eastAsia="en-GB"/>
      </w:rPr>
      <mc:AlternateContent>
        <mc:Choice Requires="wps">
          <w:drawing>
            <wp:anchor distT="0" distB="0" distL="114300" distR="114300" simplePos="0" relativeHeight="251661312" behindDoc="0" locked="0" layoutInCell="1" allowOverlap="1" wp14:anchorId="62D0EFE7" wp14:editId="04905720">
              <wp:simplePos x="0" y="0"/>
              <wp:positionH relativeFrom="column">
                <wp:posOffset>-748145</wp:posOffset>
              </wp:positionH>
              <wp:positionV relativeFrom="paragraph">
                <wp:posOffset>356755</wp:posOffset>
              </wp:positionV>
              <wp:extent cx="7156623"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7156623"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9pt,28.1pt" to="504.6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" strokecolor="white [3212]"/>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D94"/>
    <w:multiLevelType w:val="hybridMultilevel"/>
    <w:tmpl w:val="CBE6EB38"/>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3E"/>
    <w:rsid w:val="000347F9"/>
    <w:rsid w:val="00041A7B"/>
    <w:rsid w:val="000D5B5B"/>
    <w:rsid w:val="000F5624"/>
    <w:rsid w:val="00272E51"/>
    <w:rsid w:val="003D6587"/>
    <w:rsid w:val="0050702F"/>
    <w:rsid w:val="00833555"/>
    <w:rsid w:val="009C12F4"/>
    <w:rsid w:val="00A424B7"/>
    <w:rsid w:val="00C6053E"/>
    <w:rsid w:val="00C81216"/>
    <w:rsid w:val="00C85CC0"/>
    <w:rsid w:val="00C96DE6"/>
    <w:rsid w:val="00CA15BE"/>
    <w:rsid w:val="00CA64B4"/>
    <w:rsid w:val="00D9688B"/>
    <w:rsid w:val="00DB7262"/>
    <w:rsid w:val="00DD1095"/>
    <w:rsid w:val="00E5634F"/>
    <w:rsid w:val="00EA540E"/>
    <w:rsid w:val="00F0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3E"/>
  </w:style>
  <w:style w:type="paragraph" w:styleId="Footer">
    <w:name w:val="footer"/>
    <w:basedOn w:val="Normal"/>
    <w:link w:val="FooterChar"/>
    <w:uiPriority w:val="99"/>
    <w:unhideWhenUsed/>
    <w:rsid w:val="00C6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3E"/>
  </w:style>
  <w:style w:type="paragraph" w:styleId="BalloonText">
    <w:name w:val="Balloon Text"/>
    <w:basedOn w:val="Normal"/>
    <w:link w:val="BalloonTextChar"/>
    <w:uiPriority w:val="99"/>
    <w:semiHidden/>
    <w:unhideWhenUsed/>
    <w:rsid w:val="00C6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E"/>
    <w:rPr>
      <w:rFonts w:ascii="Tahoma" w:hAnsi="Tahoma" w:cs="Tahoma"/>
      <w:sz w:val="16"/>
      <w:szCs w:val="16"/>
    </w:rPr>
  </w:style>
  <w:style w:type="character" w:styleId="Hyperlink">
    <w:name w:val="Hyperlink"/>
    <w:basedOn w:val="DefaultParagraphFont"/>
    <w:uiPriority w:val="99"/>
    <w:unhideWhenUsed/>
    <w:rsid w:val="00C6053E"/>
    <w:rPr>
      <w:color w:val="0000FF" w:themeColor="hyperlink"/>
      <w:u w:val="single"/>
    </w:rPr>
  </w:style>
  <w:style w:type="table" w:styleId="TableGrid">
    <w:name w:val="Table Grid"/>
    <w:basedOn w:val="TableNormal"/>
    <w:uiPriority w:val="59"/>
    <w:rsid w:val="0003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24B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42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3E"/>
  </w:style>
  <w:style w:type="paragraph" w:styleId="Footer">
    <w:name w:val="footer"/>
    <w:basedOn w:val="Normal"/>
    <w:link w:val="FooterChar"/>
    <w:uiPriority w:val="99"/>
    <w:unhideWhenUsed/>
    <w:rsid w:val="00C6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3E"/>
  </w:style>
  <w:style w:type="paragraph" w:styleId="BalloonText">
    <w:name w:val="Balloon Text"/>
    <w:basedOn w:val="Normal"/>
    <w:link w:val="BalloonTextChar"/>
    <w:uiPriority w:val="99"/>
    <w:semiHidden/>
    <w:unhideWhenUsed/>
    <w:rsid w:val="00C6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E"/>
    <w:rPr>
      <w:rFonts w:ascii="Tahoma" w:hAnsi="Tahoma" w:cs="Tahoma"/>
      <w:sz w:val="16"/>
      <w:szCs w:val="16"/>
    </w:rPr>
  </w:style>
  <w:style w:type="character" w:styleId="Hyperlink">
    <w:name w:val="Hyperlink"/>
    <w:basedOn w:val="DefaultParagraphFont"/>
    <w:uiPriority w:val="99"/>
    <w:unhideWhenUsed/>
    <w:rsid w:val="00C6053E"/>
    <w:rPr>
      <w:color w:val="0000FF" w:themeColor="hyperlink"/>
      <w:u w:val="single"/>
    </w:rPr>
  </w:style>
  <w:style w:type="table" w:styleId="TableGrid">
    <w:name w:val="Table Grid"/>
    <w:basedOn w:val="TableNormal"/>
    <w:uiPriority w:val="59"/>
    <w:rsid w:val="0003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24B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42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9946">
      <w:bodyDiv w:val="1"/>
      <w:marLeft w:val="0"/>
      <w:marRight w:val="0"/>
      <w:marTop w:val="0"/>
      <w:marBottom w:val="0"/>
      <w:divBdr>
        <w:top w:val="none" w:sz="0" w:space="0" w:color="auto"/>
        <w:left w:val="none" w:sz="0" w:space="0" w:color="auto"/>
        <w:bottom w:val="none" w:sz="0" w:space="0" w:color="auto"/>
        <w:right w:val="none" w:sz="0" w:space="0" w:color="auto"/>
      </w:divBdr>
    </w:div>
    <w:div w:id="214670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penninelmc@btconnec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ambgates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Lambgates Health Centre</vt:lpstr>
    </vt:vector>
  </TitlesOfParts>
  <Company>GMCSU</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Lambgates Health Centre</dc:title>
  <dc:creator>Natalie Firth</dc:creator>
  <cp:lastModifiedBy>Lamb Jane</cp:lastModifiedBy>
  <cp:revision>2</cp:revision>
  <cp:lastPrinted>2019-08-30T12:37:00Z</cp:lastPrinted>
  <dcterms:created xsi:type="dcterms:W3CDTF">2020-07-13T13:31:00Z</dcterms:created>
  <dcterms:modified xsi:type="dcterms:W3CDTF">2020-07-13T13:31:00Z</dcterms:modified>
</cp:coreProperties>
</file>